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盈江县平原镇中心学校</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盈江县平原镇中心学校</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盈江县平原镇中心学校</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平原镇中心学校</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盈江县平原镇中心学校</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28</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盈江县平原镇中心学校</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rPr>
          <w:rFonts w:hint="eastAsia" w:ascii="仿宋_GB2312" w:hAnsi="仿宋_GB2312" w:eastAsia="仿宋_GB2312" w:cs="仿宋_GB2312"/>
          <w:kern w:val="0"/>
          <w:sz w:val="30"/>
          <w:szCs w:val="30"/>
          <w:lang w:val="en-US" w:eastAsia="zh-CN"/>
        </w:rPr>
      </w:pPr>
      <w:r>
        <w:rPr>
          <w:rFonts w:hint="eastAsia" w:ascii="宋体" w:hAnsi="宋体" w:eastAsia="宋体" w:cs="宋体"/>
          <w:color w:val="auto"/>
          <w:kern w:val="0"/>
          <w:sz w:val="28"/>
          <w:szCs w:val="28"/>
          <w:lang w:val="en-US" w:eastAsia="zh-CN" w:bidi="ar-SA"/>
        </w:rPr>
        <w:t xml:space="preserve">  </w:t>
      </w:r>
      <w:r>
        <w:rPr>
          <w:rFonts w:hint="eastAsia" w:ascii="仿宋_GB2312" w:hAnsi="仿宋_GB2312" w:eastAsia="仿宋_GB2312" w:cs="仿宋_GB2312"/>
          <w:color w:val="auto"/>
          <w:kern w:val="0"/>
          <w:sz w:val="28"/>
          <w:szCs w:val="28"/>
          <w:lang w:val="en-US" w:eastAsia="zh-CN" w:bidi="ar-SA"/>
        </w:rPr>
        <w:t>盈江县平原镇中心学校设置盈江县平原镇城关中心小学（其中下设</w:t>
      </w:r>
      <w:r>
        <w:rPr>
          <w:rFonts w:hint="eastAsia" w:ascii="仿宋_GB2312" w:hAnsi="仿宋_GB2312" w:eastAsia="仿宋_GB2312" w:cs="仿宋_GB2312"/>
          <w:sz w:val="30"/>
          <w:szCs w:val="30"/>
          <w:lang w:val="en-US" w:eastAsia="zh-CN"/>
        </w:rPr>
        <w:t>勐町小学、拉洪弄恍小学、思浪小学、芒丙小学、大庄小学、拉勐小学、芒广小学、丙辉小学、弄杏小学、关纯小学、新平小学、莲花山小学、陇中小学、五棵树小学、长地方小学15个校点</w:t>
      </w:r>
      <w:r>
        <w:rPr>
          <w:rFonts w:hint="eastAsia" w:ascii="仿宋_GB2312" w:hAnsi="仿宋_GB2312" w:eastAsia="仿宋_GB2312" w:cs="仿宋_GB2312"/>
          <w:color w:val="auto"/>
          <w:kern w:val="0"/>
          <w:sz w:val="30"/>
          <w:szCs w:val="30"/>
          <w:lang w:val="en-US" w:eastAsia="zh-CN" w:bidi="ar-SA"/>
        </w:rPr>
        <w:t>）、盈</w:t>
      </w:r>
      <w:r>
        <w:rPr>
          <w:rFonts w:hint="eastAsia" w:ascii="仿宋_GB2312" w:hAnsi="仿宋_GB2312" w:eastAsia="仿宋_GB2312" w:cs="仿宋_GB2312"/>
          <w:color w:val="auto"/>
          <w:kern w:val="0"/>
          <w:sz w:val="28"/>
          <w:szCs w:val="28"/>
          <w:lang w:val="en-US" w:eastAsia="zh-CN" w:bidi="ar-SA"/>
        </w:rPr>
        <w:t>江县第二小学、盈江县第三小学、盈江县第四小学、盈江</w:t>
      </w:r>
      <w:r>
        <w:rPr>
          <w:rFonts w:hint="eastAsia" w:ascii="仿宋_GB2312" w:hAnsi="仿宋_GB2312" w:eastAsia="仿宋_GB2312" w:cs="仿宋_GB2312"/>
          <w:color w:val="auto"/>
          <w:kern w:val="0"/>
          <w:sz w:val="28"/>
          <w:szCs w:val="28"/>
          <w:lang w:val="en-US" w:eastAsia="zh-CN" w:bidi="ar-SA"/>
        </w:rPr>
        <w:t>县第五小学5个分小。</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numPr>
          <w:numId w:val="0"/>
        </w:numPr>
        <w:kinsoku/>
        <w:wordWrap/>
        <w:overflowPunct/>
        <w:topLinePunct w:val="0"/>
        <w:autoSpaceDE/>
        <w:autoSpaceDN/>
        <w:bidi w:val="0"/>
        <w:adjustRightInd/>
        <w:snapToGrid/>
        <w:spacing w:line="540" w:lineRule="exact"/>
        <w:ind w:firstLine="560"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28"/>
          <w:szCs w:val="28"/>
          <w:lang w:val="en-US" w:eastAsia="zh-CN"/>
        </w:rPr>
        <w:t xml:space="preserve">1、 </w:t>
      </w:r>
      <w:r>
        <w:rPr>
          <w:rFonts w:hint="eastAsia" w:ascii="仿宋_GB2312" w:hAnsi="仿宋_GB2312" w:eastAsia="仿宋_GB2312" w:cs="仿宋_GB2312"/>
          <w:b/>
          <w:bCs/>
          <w:sz w:val="30"/>
          <w:szCs w:val="30"/>
        </w:rPr>
        <w:t>进一步规范学校管理，提升办学水平，促进学校内涵发展</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00"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在上级党委政府及教育主管部门的领导和关心下，</w:t>
      </w:r>
      <w:r>
        <w:rPr>
          <w:rFonts w:hint="eastAsia" w:ascii="仿宋_GB2312" w:hAnsi="仿宋_GB2312" w:eastAsia="仿宋_GB2312" w:cs="仿宋_GB2312"/>
          <w:sz w:val="30"/>
          <w:szCs w:val="30"/>
          <w:lang w:eastAsia="zh-CN"/>
        </w:rPr>
        <w:t>认真贯彻</w:t>
      </w:r>
      <w:r>
        <w:rPr>
          <w:rFonts w:hint="eastAsia" w:ascii="仿宋_GB2312" w:hAnsi="仿宋_GB2312" w:eastAsia="仿宋_GB2312" w:cs="仿宋_GB2312"/>
          <w:sz w:val="30"/>
          <w:szCs w:val="30"/>
        </w:rPr>
        <w:t>国家和省《中长期教育改革和发展规划纲要》及州、县实施意见，全面贯彻党</w:t>
      </w:r>
      <w:r>
        <w:rPr>
          <w:rFonts w:hint="eastAsia" w:ascii="仿宋_GB2312" w:hAnsi="仿宋_GB2312" w:eastAsia="仿宋_GB2312" w:cs="仿宋_GB2312"/>
          <w:sz w:val="30"/>
          <w:szCs w:val="30"/>
          <w:lang w:eastAsia="zh-CN"/>
        </w:rPr>
        <w:t>和国家</w:t>
      </w:r>
      <w:r>
        <w:rPr>
          <w:rFonts w:hint="eastAsia" w:ascii="仿宋_GB2312" w:hAnsi="仿宋_GB2312" w:eastAsia="仿宋_GB2312" w:cs="仿宋_GB2312"/>
          <w:sz w:val="30"/>
          <w:szCs w:val="30"/>
        </w:rPr>
        <w:t>的教育方针</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依法治校</w:t>
      </w:r>
      <w:r>
        <w:rPr>
          <w:rFonts w:hint="eastAsia" w:ascii="仿宋_GB2312" w:hAnsi="仿宋_GB2312" w:eastAsia="仿宋_GB2312" w:cs="仿宋_GB2312"/>
          <w:sz w:val="30"/>
          <w:szCs w:val="30"/>
          <w:lang w:eastAsia="zh-CN"/>
        </w:rPr>
        <w:t>、依法执教。</w:t>
      </w:r>
    </w:p>
    <w:p>
      <w:pPr>
        <w:keepNext w:val="0"/>
        <w:keepLines w:val="0"/>
        <w:pageBreakBefore w:val="0"/>
        <w:kinsoku/>
        <w:wordWrap/>
        <w:overflowPunct/>
        <w:topLinePunct w:val="0"/>
        <w:autoSpaceDE/>
        <w:autoSpaceDN/>
        <w:bidi w:val="0"/>
        <w:adjustRightInd/>
        <w:snapToGrid/>
        <w:spacing w:line="540" w:lineRule="exact"/>
        <w:ind w:firstLine="602"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2、</w:t>
      </w:r>
      <w:r>
        <w:rPr>
          <w:rFonts w:hint="eastAsia" w:ascii="仿宋_GB2312" w:hAnsi="仿宋_GB2312" w:eastAsia="仿宋_GB2312" w:cs="仿宋_GB2312"/>
          <w:b/>
          <w:bCs/>
          <w:sz w:val="30"/>
          <w:szCs w:val="30"/>
        </w:rPr>
        <w:t>以立德树人为德育目标，强化教书育人工作</w:t>
      </w:r>
    </w:p>
    <w:p>
      <w:pPr>
        <w:keepNext w:val="0"/>
        <w:keepLines w:val="0"/>
        <w:pageBreakBefore w:val="0"/>
        <w:kinsoku/>
        <w:wordWrap/>
        <w:overflowPunct/>
        <w:topLinePunct w:val="0"/>
        <w:autoSpaceDE/>
        <w:autoSpaceDN/>
        <w:bidi w:val="0"/>
        <w:adjustRightInd/>
        <w:snapToGrid/>
        <w:spacing w:line="540" w:lineRule="exact"/>
        <w:ind w:firstLine="600" w:firstLineChars="200"/>
        <w:jc w:val="both"/>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以立德树人为德育目标，强化教书育人工作，积极探索学科课程渗透德育的途径和活动育人、管理育人、服务育人、环境育人的德育途径，推进教风、学风、校风的建设</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600" w:firstLineChars="200"/>
        <w:jc w:val="both"/>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rPr>
        <w:t>不断完善学校管理制度，加强校园绿化美化工作，创设良好的育人环境</w:t>
      </w:r>
      <w:r>
        <w:rPr>
          <w:rFonts w:hint="eastAsia" w:ascii="仿宋_GB2312" w:hAnsi="仿宋_GB2312" w:eastAsia="仿宋_GB2312" w:cs="仿宋_GB2312"/>
          <w:color w:val="auto"/>
          <w:sz w:val="30"/>
          <w:szCs w:val="30"/>
          <w:lang w:eastAsia="zh-CN"/>
        </w:rPr>
        <w:t>。本学年，我们在推进义务教育基本均衡发展工作中，努力打造各校校园绿化美化工作，加强学生养成教育工作，安全文明校园在各校逐步形成。</w:t>
      </w:r>
    </w:p>
    <w:p>
      <w:pPr>
        <w:keepNext w:val="0"/>
        <w:keepLines w:val="0"/>
        <w:pageBreakBefore w:val="0"/>
        <w:kinsoku/>
        <w:wordWrap/>
        <w:overflowPunct/>
        <w:topLinePunct w:val="0"/>
        <w:autoSpaceDE/>
        <w:autoSpaceDN/>
        <w:bidi w:val="0"/>
        <w:adjustRightInd/>
        <w:snapToGrid/>
        <w:spacing w:line="540" w:lineRule="exact"/>
        <w:ind w:firstLine="600" w:firstLineChars="200"/>
        <w:jc w:val="both"/>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eastAsia="zh-CN"/>
        </w:rPr>
        <w:t>建章立制，积极开展“民族团结</w:t>
      </w:r>
      <w:r>
        <w:rPr>
          <w:rFonts w:hint="eastAsia" w:ascii="仿宋_GB2312" w:hAnsi="仿宋_GB2312" w:eastAsia="仿宋_GB2312" w:cs="仿宋_GB2312"/>
          <w:color w:val="auto"/>
          <w:sz w:val="30"/>
          <w:szCs w:val="30"/>
          <w:lang w:val="en-US" w:eastAsia="zh-CN"/>
        </w:rPr>
        <w:t>进步创建”</w:t>
      </w:r>
      <w:r>
        <w:rPr>
          <w:rFonts w:hint="eastAsia" w:ascii="仿宋_GB2312" w:hAnsi="仿宋_GB2312" w:eastAsia="仿宋_GB2312" w:cs="仿宋_GB2312"/>
          <w:color w:val="auto"/>
          <w:sz w:val="30"/>
          <w:szCs w:val="30"/>
          <w:lang w:eastAsia="zh-CN"/>
        </w:rPr>
        <w:t>工作。以党和国家以及教育部门关于民族教育重要思想为指导，全面贯彻党的民族政策，巩固和发展平等、团结、互助的民族关系，以“爱党、爱袓国、爱社会主义”教育为主题，因地制宜，富有特色开展“民族团结</w:t>
      </w:r>
      <w:r>
        <w:rPr>
          <w:rFonts w:hint="eastAsia" w:ascii="仿宋_GB2312" w:hAnsi="仿宋_GB2312" w:eastAsia="仿宋_GB2312" w:cs="仿宋_GB2312"/>
          <w:color w:val="auto"/>
          <w:sz w:val="30"/>
          <w:szCs w:val="30"/>
          <w:lang w:val="en-US" w:eastAsia="zh-CN"/>
        </w:rPr>
        <w:t>进步创建”</w:t>
      </w:r>
      <w:r>
        <w:rPr>
          <w:rFonts w:hint="eastAsia" w:ascii="仿宋_GB2312" w:hAnsi="仿宋_GB2312" w:eastAsia="仿宋_GB2312" w:cs="仿宋_GB2312"/>
          <w:color w:val="auto"/>
          <w:sz w:val="30"/>
          <w:szCs w:val="30"/>
          <w:lang w:eastAsia="zh-CN"/>
        </w:rPr>
        <w:t>工作。</w:t>
      </w:r>
    </w:p>
    <w:p>
      <w:pPr>
        <w:keepNext w:val="0"/>
        <w:keepLines w:val="0"/>
        <w:pageBreakBefore w:val="0"/>
        <w:kinsoku/>
        <w:wordWrap/>
        <w:overflowPunct/>
        <w:topLinePunct w:val="0"/>
        <w:autoSpaceDE/>
        <w:autoSpaceDN/>
        <w:bidi w:val="0"/>
        <w:adjustRightInd/>
        <w:snapToGrid/>
        <w:spacing w:line="540" w:lineRule="exact"/>
        <w:ind w:firstLine="602"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3、</w:t>
      </w:r>
      <w:r>
        <w:rPr>
          <w:rFonts w:hint="eastAsia" w:ascii="仿宋_GB2312" w:hAnsi="仿宋_GB2312" w:eastAsia="仿宋_GB2312" w:cs="仿宋_GB2312"/>
          <w:b/>
          <w:bCs/>
          <w:sz w:val="30"/>
          <w:szCs w:val="30"/>
        </w:rPr>
        <w:t>构建和谐校园工作目标，全面加强学校安全工作</w:t>
      </w:r>
    </w:p>
    <w:p>
      <w:pPr>
        <w:keepNext w:val="0"/>
        <w:keepLines w:val="0"/>
        <w:pageBreakBefore w:val="0"/>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制定综治安全目标任务，层层签订责任状。</w:t>
      </w:r>
      <w:r>
        <w:rPr>
          <w:rFonts w:hint="eastAsia" w:ascii="仿宋_GB2312" w:hAnsi="仿宋_GB2312" w:eastAsia="仿宋_GB2312" w:cs="仿宋_GB2312"/>
          <w:sz w:val="30"/>
          <w:szCs w:val="30"/>
          <w:lang w:val="en-US"/>
        </w:rPr>
        <w:t>强化宣传教育和应急演练</w:t>
      </w:r>
      <w:bookmarkStart w:id="0" w:name="_GoBack"/>
      <w:bookmarkEnd w:id="0"/>
      <w:r>
        <w:rPr>
          <w:rFonts w:hint="eastAsia" w:ascii="仿宋_GB2312" w:hAnsi="仿宋_GB2312" w:eastAsia="仿宋_GB2312" w:cs="仿宋_GB2312"/>
          <w:sz w:val="30"/>
          <w:szCs w:val="30"/>
          <w:lang w:val="en-US"/>
        </w:rPr>
        <w:t>。建立健全矛盾纠纷排查调处机制</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确保各项目资金规范管理，提高资金使用效益，认真宣传学生资助政策，落实好资助公示制度。</w:t>
      </w:r>
    </w:p>
    <w:p>
      <w:pPr>
        <w:keepNext w:val="0"/>
        <w:keepLines w:val="0"/>
        <w:pageBreakBefore w:val="0"/>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认真落实信访工作，切实做好群众来信来访办理、接待以及上级部门交办的信访工作，有效防止群体性上访事件。</w:t>
      </w:r>
    </w:p>
    <w:p>
      <w:pPr>
        <w:keepNext w:val="0"/>
        <w:keepLines w:val="0"/>
        <w:pageBreakBefore w:val="0"/>
        <w:widowControl w:val="0"/>
        <w:kinsoku/>
        <w:wordWrap/>
        <w:overflowPunct/>
        <w:topLinePunct w:val="0"/>
        <w:autoSpaceDE/>
        <w:autoSpaceDN/>
        <w:bidi w:val="0"/>
        <w:adjustRightInd/>
        <w:snapToGrid/>
        <w:spacing w:line="240" w:lineRule="auto"/>
        <w:ind w:firstLine="602" w:firstLineChars="200"/>
        <w:jc w:val="both"/>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4、进一步推进义务教育学校基本均衡发展工作</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jc w:val="both"/>
        <w:textAlignment w:val="auto"/>
        <w:outlineLvl w:val="9"/>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平原镇中心学校以完小思浪、蛮丙、关纯、新平、拉勐、蛮广、拉洪(在建中)及校点莲花山小学为主体，围绕均衡国检的十项标准开展学校的软件、硬件建设工作。</w:t>
      </w:r>
    </w:p>
    <w:p>
      <w:pPr>
        <w:keepNext w:val="0"/>
        <w:keepLines w:val="0"/>
        <w:pageBreakBefore w:val="0"/>
        <w:widowControl w:val="0"/>
        <w:numPr>
          <w:numId w:val="0"/>
        </w:numPr>
        <w:kinsoku/>
        <w:wordWrap/>
        <w:overflowPunct/>
        <w:topLinePunct w:val="0"/>
        <w:autoSpaceDE/>
        <w:autoSpaceDN/>
        <w:bidi w:val="0"/>
        <w:adjustRightInd/>
        <w:snapToGrid/>
        <w:spacing w:line="240" w:lineRule="auto"/>
        <w:ind w:firstLine="602" w:firstLineChars="200"/>
        <w:jc w:val="both"/>
        <w:textAlignment w:val="auto"/>
        <w:outlineLvl w:val="9"/>
        <w:rPr>
          <w:rFonts w:hint="eastAsia" w:ascii="仿宋_GB2312" w:hAnsi="仿宋_GB2312" w:eastAsia="仿宋_GB2312" w:cs="仿宋_GB2312"/>
          <w:b/>
          <w:bCs/>
          <w:color w:val="auto"/>
          <w:sz w:val="30"/>
          <w:szCs w:val="30"/>
          <w:lang w:val="en-US" w:eastAsia="zh-CN"/>
        </w:rPr>
      </w:pPr>
      <w:r>
        <w:rPr>
          <w:rFonts w:hint="eastAsia" w:ascii="仿宋_GB2312" w:hAnsi="仿宋_GB2312" w:eastAsia="仿宋_GB2312" w:cs="仿宋_GB2312"/>
          <w:b/>
          <w:bCs/>
          <w:color w:val="auto"/>
          <w:sz w:val="30"/>
          <w:szCs w:val="30"/>
          <w:lang w:val="en-US" w:eastAsia="zh-CN"/>
        </w:rPr>
        <w:t>5、严抓师德师风，推进教师队伍行风建设工作</w:t>
      </w:r>
    </w:p>
    <w:p>
      <w:pPr>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b/>
          <w:bCs/>
          <w:color w:val="auto"/>
          <w:sz w:val="30"/>
          <w:szCs w:val="30"/>
          <w:lang w:val="en-US" w:eastAsia="zh-CN"/>
        </w:rPr>
      </w:pPr>
      <w:r>
        <w:rPr>
          <w:rFonts w:hint="eastAsia" w:ascii="仿宋_GB2312" w:hAnsi="仿宋_GB2312" w:eastAsia="仿宋_GB2312" w:cs="仿宋_GB2312"/>
          <w:color w:val="auto"/>
          <w:sz w:val="30"/>
          <w:szCs w:val="30"/>
          <w:lang w:val="en-US" w:eastAsia="zh-CN"/>
        </w:rPr>
        <w:t>建立健全学校制度体系；严肃教职工工作纪律；坚持民主管理，实行民主决策制；推行阳光工程，坚持校务公开制度。</w:t>
      </w:r>
    </w:p>
    <w:p>
      <w:pPr>
        <w:keepNext w:val="0"/>
        <w:keepLines w:val="0"/>
        <w:pageBreakBefore w:val="0"/>
        <w:numPr>
          <w:numId w:val="0"/>
        </w:numPr>
        <w:kinsoku/>
        <w:wordWrap/>
        <w:overflowPunct/>
        <w:topLinePunct w:val="0"/>
        <w:autoSpaceDE/>
        <w:autoSpaceDN/>
        <w:bidi w:val="0"/>
        <w:adjustRightInd/>
        <w:snapToGrid/>
        <w:ind w:firstLine="602" w:firstLineChars="200"/>
        <w:jc w:val="both"/>
        <w:textAlignment w:val="auto"/>
        <w:rPr>
          <w:rFonts w:hint="eastAsia" w:ascii="仿宋_GB2312" w:hAnsi="仿宋_GB2312" w:eastAsia="仿宋_GB2312" w:cs="仿宋_GB2312"/>
          <w:b/>
          <w:bCs/>
          <w:color w:val="auto"/>
          <w:sz w:val="30"/>
          <w:szCs w:val="30"/>
          <w:lang w:eastAsia="zh-CN"/>
        </w:rPr>
      </w:pPr>
      <w:r>
        <w:rPr>
          <w:rFonts w:hint="eastAsia" w:ascii="仿宋_GB2312" w:hAnsi="仿宋_GB2312" w:eastAsia="仿宋_GB2312" w:cs="仿宋_GB2312"/>
          <w:b/>
          <w:bCs/>
          <w:color w:val="auto"/>
          <w:sz w:val="30"/>
          <w:szCs w:val="30"/>
          <w:lang w:val="en-US" w:eastAsia="zh-CN"/>
        </w:rPr>
        <w:t>6、</w:t>
      </w:r>
      <w:r>
        <w:rPr>
          <w:rFonts w:hint="eastAsia" w:ascii="仿宋_GB2312" w:hAnsi="仿宋_GB2312" w:eastAsia="仿宋_GB2312" w:cs="仿宋_GB2312"/>
          <w:b/>
          <w:bCs/>
          <w:color w:val="auto"/>
          <w:sz w:val="30"/>
          <w:szCs w:val="30"/>
          <w:lang w:eastAsia="zh-CN"/>
        </w:rPr>
        <w:t>全面推进课堂教学改革，抓实教学常规管理，努力提高</w:t>
      </w:r>
      <w:r>
        <w:rPr>
          <w:rFonts w:hint="eastAsia" w:ascii="仿宋_GB2312" w:hAnsi="仿宋_GB2312" w:eastAsia="仿宋_GB2312" w:cs="仿宋_GB2312"/>
          <w:b/>
          <w:bCs/>
          <w:color w:val="auto"/>
          <w:sz w:val="30"/>
          <w:szCs w:val="30"/>
        </w:rPr>
        <w:t>教育教学</w:t>
      </w:r>
      <w:r>
        <w:rPr>
          <w:rFonts w:hint="eastAsia" w:ascii="仿宋_GB2312" w:hAnsi="仿宋_GB2312" w:eastAsia="仿宋_GB2312" w:cs="仿宋_GB2312"/>
          <w:b/>
          <w:bCs/>
          <w:color w:val="auto"/>
          <w:sz w:val="30"/>
          <w:szCs w:val="30"/>
          <w:lang w:eastAsia="zh-CN"/>
        </w:rPr>
        <w:t>质量</w:t>
      </w:r>
    </w:p>
    <w:p>
      <w:pPr>
        <w:keepNext w:val="0"/>
        <w:keepLines w:val="0"/>
        <w:pageBreakBefore w:val="0"/>
        <w:kinsoku/>
        <w:wordWrap/>
        <w:overflowPunct/>
        <w:topLinePunct w:val="0"/>
        <w:autoSpaceDE/>
        <w:autoSpaceDN/>
        <w:bidi w:val="0"/>
        <w:adjustRightInd/>
        <w:snapToGrid/>
        <w:spacing w:beforeAutospacing="0" w:afterAutospacing="0" w:line="240" w:lineRule="atLeast"/>
        <w:ind w:left="0" w:leftChars="0" w:right="0" w:rightChars="0" w:firstLine="600" w:firstLineChars="200"/>
        <w:jc w:val="both"/>
        <w:textAlignment w:val="auto"/>
        <w:outlineLvl w:val="9"/>
        <w:rPr>
          <w:rFonts w:hint="eastAsia" w:ascii="仿宋_GB2312" w:hAnsi="仿宋_GB2312" w:eastAsia="仿宋_GB2312" w:cs="仿宋_GB2312"/>
          <w:b/>
          <w:bCs/>
          <w:color w:val="auto"/>
          <w:sz w:val="30"/>
          <w:szCs w:val="30"/>
          <w:lang w:eastAsia="zh-CN"/>
        </w:rPr>
      </w:pPr>
      <w:r>
        <w:rPr>
          <w:rFonts w:hint="eastAsia" w:ascii="仿宋_GB2312" w:hAnsi="仿宋_GB2312" w:eastAsia="仿宋_GB2312" w:cs="仿宋_GB2312"/>
          <w:color w:val="auto"/>
          <w:sz w:val="30"/>
          <w:szCs w:val="30"/>
        </w:rPr>
        <w:t>集体备课重实效</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聚焦课堂抓教学</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b w:val="0"/>
          <w:bCs w:val="0"/>
          <w:color w:val="auto"/>
          <w:sz w:val="30"/>
          <w:szCs w:val="30"/>
        </w:rPr>
        <w:t>过程管理显精细</w:t>
      </w:r>
      <w:r>
        <w:rPr>
          <w:rFonts w:hint="eastAsia" w:ascii="仿宋_GB2312" w:hAnsi="仿宋_GB2312" w:eastAsia="仿宋_GB2312" w:cs="仿宋_GB2312"/>
          <w:b w:val="0"/>
          <w:bCs w:val="0"/>
          <w:color w:val="auto"/>
          <w:sz w:val="30"/>
          <w:szCs w:val="30"/>
          <w:lang w:eastAsia="zh-CN"/>
        </w:rPr>
        <w:t>；</w:t>
      </w:r>
      <w:r>
        <w:rPr>
          <w:rFonts w:hint="eastAsia" w:ascii="仿宋_GB2312" w:hAnsi="仿宋_GB2312" w:eastAsia="仿宋_GB2312" w:cs="仿宋_GB2312"/>
          <w:sz w:val="30"/>
          <w:szCs w:val="30"/>
        </w:rPr>
        <w:t>兴教科研强内涵</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培优辅困促特长</w:t>
      </w:r>
      <w:r>
        <w:rPr>
          <w:rFonts w:hint="eastAsia" w:ascii="仿宋_GB2312" w:hAnsi="仿宋_GB2312" w:eastAsia="仿宋_GB2312" w:cs="仿宋_GB2312"/>
          <w:sz w:val="30"/>
          <w:szCs w:val="30"/>
          <w:lang w:eastAsia="zh-CN"/>
        </w:rPr>
        <w:t>。</w:t>
      </w:r>
    </w:p>
    <w:p>
      <w:pPr>
        <w:keepNext w:val="0"/>
        <w:keepLines w:val="0"/>
        <w:pageBreakBefore w:val="0"/>
        <w:kinsoku/>
        <w:wordWrap/>
        <w:overflowPunct/>
        <w:topLinePunct w:val="0"/>
        <w:autoSpaceDE/>
        <w:autoSpaceDN/>
        <w:bidi w:val="0"/>
        <w:adjustRightInd/>
        <w:snapToGrid/>
        <w:spacing w:line="540" w:lineRule="exact"/>
        <w:ind w:firstLine="602" w:firstLineChars="200"/>
        <w:jc w:val="both"/>
        <w:textAlignment w:val="auto"/>
        <w:rPr>
          <w:rFonts w:hint="eastAsia"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lang w:val="en-US" w:eastAsia="zh-CN"/>
        </w:rPr>
        <w:t>7、</w:t>
      </w:r>
      <w:r>
        <w:rPr>
          <w:rFonts w:hint="eastAsia" w:ascii="仿宋_GB2312" w:hAnsi="仿宋_GB2312" w:eastAsia="仿宋_GB2312" w:cs="仿宋_GB2312"/>
          <w:b/>
          <w:bCs/>
          <w:color w:val="auto"/>
          <w:sz w:val="30"/>
          <w:szCs w:val="30"/>
          <w:lang w:eastAsia="zh-CN"/>
        </w:rPr>
        <w:t>其它工作</w:t>
      </w:r>
    </w:p>
    <w:p>
      <w:pPr>
        <w:keepNext w:val="0"/>
        <w:keepLines w:val="0"/>
        <w:pageBreakBefore w:val="0"/>
        <w:widowControl w:val="0"/>
        <w:numPr>
          <w:numId w:val="0"/>
        </w:numPr>
        <w:kinsoku/>
        <w:wordWrap/>
        <w:overflowPunct/>
        <w:topLinePunct w:val="0"/>
        <w:autoSpaceDE/>
        <w:autoSpaceDN/>
        <w:bidi w:val="0"/>
        <w:adjustRightInd/>
        <w:snapToGrid/>
        <w:ind w:firstLine="600" w:firstLineChars="200"/>
        <w:jc w:val="both"/>
        <w:textAlignment w:val="auto"/>
        <w:outlineLvl w:val="9"/>
        <w:rPr>
          <w:rFonts w:hint="eastAsia" w:ascii="宋体" w:hAnsi="宋体" w:eastAsia="宋体" w:cs="宋体"/>
          <w:color w:val="auto"/>
          <w:sz w:val="30"/>
          <w:szCs w:val="30"/>
          <w:lang w:val="en-US" w:eastAsia="zh-CN"/>
        </w:rPr>
      </w:pPr>
      <w:r>
        <w:rPr>
          <w:rFonts w:hint="eastAsia" w:ascii="仿宋_GB2312" w:hAnsi="仿宋_GB2312" w:eastAsia="仿宋_GB2312" w:cs="仿宋_GB2312"/>
          <w:color w:val="auto"/>
          <w:sz w:val="30"/>
          <w:szCs w:val="30"/>
          <w:lang w:eastAsia="zh-CN"/>
        </w:rPr>
        <w:t>加强基层党组织建设。紧紧围绕“发展教育抓党建，抓好党建促教育”的原则，推进“两学一做”工作常态化、制度化，提升基层党组织建设，建设学习型、组织性与服务型党组织；以创建思浪小学勤工俭学示范学校为引领，鼓励各校开展勤工俭学活动。不断优化思浪小学勤工俭学产业链结构，不断提高产品的质量，提升勤工俭学项目的经济效益；</w:t>
      </w:r>
      <w:r>
        <w:rPr>
          <w:rFonts w:hint="eastAsia" w:ascii="仿宋_GB2312" w:hAnsi="仿宋_GB2312" w:eastAsia="仿宋_GB2312" w:cs="仿宋_GB2312"/>
          <w:color w:val="auto"/>
          <w:sz w:val="30"/>
          <w:szCs w:val="30"/>
          <w:lang w:val="en-US" w:eastAsia="zh-CN"/>
        </w:rPr>
        <w:t>加强法制宣传教育。制定方案，全面开展“七五普法”教育活动。采取切实措施，充分发挥校园广播、板报、校会、班会、国旗下讲话的作用，大力宣传教育法律法规知识；积极配合县青少年学生校外活动中心开展工作，按名额指标派出教师、学生参加“书画”、“风筝”等各类培训和比赛；鼓励支持职成教服务中心开展农村实用技术的研训与推广工作。中心学校领导班子和始终和职成教服务中心成员一起，研究项目的实施方案，遇到困难和问题群策群力共同克服。</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255</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255</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263</w:t>
      </w:r>
      <w:r>
        <w:rPr>
          <w:rFonts w:hint="eastAsia" w:ascii="仿宋_GB2312" w:hAnsi="仿宋_GB2312" w:eastAsia="仿宋_GB2312" w:cs="仿宋_GB2312"/>
          <w:color w:val="000000" w:themeColor="text1"/>
          <w:kern w:val="0"/>
          <w:sz w:val="30"/>
          <w:szCs w:val="30"/>
        </w:rPr>
        <w:t>人，其中： 财政全供养</w:t>
      </w:r>
      <w:r>
        <w:rPr>
          <w:rFonts w:hint="eastAsia" w:ascii="仿宋_GB2312" w:hAnsi="仿宋_GB2312" w:eastAsia="仿宋_GB2312" w:cs="仿宋_GB2312"/>
          <w:color w:val="000000" w:themeColor="text1"/>
          <w:kern w:val="0"/>
          <w:sz w:val="30"/>
          <w:szCs w:val="30"/>
          <w:lang w:val="en-US" w:eastAsia="zh-CN"/>
        </w:rPr>
        <w:t>263</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218</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218</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盈江县平原镇中心学校</w:t>
      </w:r>
      <w:r>
        <w:rPr>
          <w:rFonts w:eastAsia="仿宋_GB2312"/>
          <w:kern w:val="0"/>
          <w:sz w:val="30"/>
          <w:szCs w:val="30"/>
        </w:rPr>
        <w:t>财务总收入</w:t>
      </w:r>
      <w:r>
        <w:rPr>
          <w:rFonts w:hint="eastAsia" w:eastAsia="仿宋_GB2312"/>
          <w:kern w:val="0"/>
          <w:sz w:val="30"/>
          <w:szCs w:val="30"/>
          <w:lang w:val="en-US" w:eastAsia="zh-CN"/>
        </w:rPr>
        <w:t>3245.48</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3245.48</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3245.48</w:t>
      </w:r>
      <w:r>
        <w:rPr>
          <w:rFonts w:eastAsia="仿宋_GB2312"/>
          <w:kern w:val="0"/>
          <w:sz w:val="30"/>
          <w:szCs w:val="30"/>
        </w:rPr>
        <w:t>万元，其中:本年收入</w:t>
      </w:r>
      <w:r>
        <w:rPr>
          <w:rFonts w:hint="eastAsia" w:eastAsia="仿宋_GB2312"/>
          <w:kern w:val="0"/>
          <w:sz w:val="30"/>
          <w:szCs w:val="30"/>
          <w:lang w:val="en-US" w:eastAsia="zh-CN"/>
        </w:rPr>
        <w:t>3245.48</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3245.48</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3245.48</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3245.48</w:t>
      </w:r>
      <w:r>
        <w:rPr>
          <w:rFonts w:eastAsia="仿宋_GB2312"/>
          <w:kern w:val="0"/>
          <w:sz w:val="30"/>
          <w:szCs w:val="30"/>
        </w:rPr>
        <w:t>万元，其中，基本支出</w:t>
      </w:r>
      <w:r>
        <w:rPr>
          <w:rFonts w:hint="eastAsia" w:eastAsia="仿宋_GB2312"/>
          <w:kern w:val="0"/>
          <w:sz w:val="30"/>
          <w:szCs w:val="30"/>
          <w:lang w:val="en-US" w:eastAsia="zh-CN"/>
        </w:rPr>
        <w:t>3245.48</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5"/>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5"/>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 教育支出-普通教育-小学教育2432.45万元，主要用于工资福利支出和日常学校运行运转。</w:t>
      </w:r>
    </w:p>
    <w:p>
      <w:pPr>
        <w:pStyle w:val="15"/>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“2080502”社会保障和就业支出-行政事业单位离退休-事业单位单位离退休39.08万元，主要用于离退休人员公用经费支出。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事业单位基本养老保险缴费支出462.44万元，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“2080506”社会保障和就业支出-行政事业单位离退休- 机关事业单位职业年金缴费支出1.95万元，</w:t>
      </w:r>
      <w:r>
        <w:rPr>
          <w:rFonts w:hint="eastAsia" w:ascii="仿宋_GB2312" w:hAnsi="仿宋_GB2312" w:eastAsia="仿宋_GB2312" w:cs="仿宋_GB2312"/>
          <w:color w:val="333333"/>
          <w:sz w:val="30"/>
          <w:szCs w:val="30"/>
          <w:shd w:val="clear" w:color="040000" w:fill="FFFFFF"/>
        </w:rPr>
        <w:t>主要反映单位缴交的</w:t>
      </w:r>
      <w:r>
        <w:rPr>
          <w:rFonts w:hint="eastAsia" w:ascii="仿宋_GB2312" w:hAnsi="仿宋_GB2312" w:eastAsia="仿宋_GB2312" w:cs="仿宋_GB2312"/>
          <w:sz w:val="30"/>
          <w:szCs w:val="30"/>
          <w:lang w:val="en-US" w:eastAsia="zh-CN"/>
        </w:rPr>
        <w:t>职业年金</w:t>
      </w:r>
      <w:r>
        <w:rPr>
          <w:rFonts w:hint="eastAsia" w:ascii="仿宋_GB2312" w:hAnsi="仿宋_GB2312" w:eastAsia="仿宋_GB2312" w:cs="仿宋_GB2312"/>
          <w:color w:val="333333"/>
          <w:sz w:val="30"/>
          <w:szCs w:val="30"/>
          <w:shd w:val="clear" w:color="040000" w:fill="FFFFFF"/>
        </w:rPr>
        <w:t>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w:t>
      </w:r>
      <w:r>
        <w:rPr>
          <w:rFonts w:hint="eastAsia" w:ascii="仿宋_GB2312" w:hAnsi="仿宋_GB2312" w:eastAsia="仿宋_GB2312" w:cs="仿宋_GB2312"/>
          <w:color w:val="333333"/>
          <w:sz w:val="30"/>
          <w:szCs w:val="30"/>
          <w:shd w:val="clear" w:color="040000" w:fill="FFFFFF"/>
          <w:lang w:val="en-US" w:eastAsia="zh-CN"/>
        </w:rPr>
        <w:t>309.56</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kern w:val="0"/>
          <w:sz w:val="30"/>
          <w:szCs w:val="30"/>
          <w:lang w:val="en-US" w:eastAsia="zh-CN"/>
        </w:rPr>
        <w:t>2050202小学教育</w:t>
      </w:r>
      <w:r>
        <w:rPr>
          <w:rFonts w:hint="eastAsia" w:ascii="仿宋_GB2312" w:hAnsi="仿宋_GB2312" w:eastAsia="仿宋_GB2312" w:cs="仿宋_GB2312"/>
          <w:sz w:val="30"/>
          <w:szCs w:val="30"/>
          <w:lang w:val="en-US" w:eastAsia="zh-CN"/>
        </w:rPr>
        <w:t>2432.45</w:t>
      </w:r>
      <w:r>
        <w:rPr>
          <w:rFonts w:hint="eastAsia" w:ascii="仿宋_GB2312" w:hAnsi="仿宋_GB2312" w:eastAsia="仿宋_GB2312" w:cs="仿宋_GB2312"/>
          <w:kern w:val="0"/>
          <w:sz w:val="30"/>
          <w:szCs w:val="30"/>
          <w:lang w:val="en-US" w:eastAsia="zh-CN"/>
        </w:rPr>
        <w:t>万元，其中：基本支出</w:t>
      </w:r>
      <w:r>
        <w:rPr>
          <w:rFonts w:hint="eastAsia" w:ascii="仿宋_GB2312" w:hAnsi="仿宋_GB2312" w:eastAsia="仿宋_GB2312" w:cs="仿宋_GB2312"/>
          <w:sz w:val="30"/>
          <w:szCs w:val="30"/>
          <w:lang w:val="en-US" w:eastAsia="zh-CN"/>
        </w:rPr>
        <w:t>2432.45</w:t>
      </w:r>
      <w:r>
        <w:rPr>
          <w:rFonts w:hint="eastAsia" w:ascii="仿宋_GB2312" w:hAnsi="仿宋_GB2312" w:eastAsia="仿宋_GB2312" w:cs="仿宋_GB2312"/>
          <w:kern w:val="0"/>
          <w:sz w:val="30"/>
          <w:szCs w:val="30"/>
          <w:lang w:val="en-US" w:eastAsia="zh-CN"/>
        </w:rPr>
        <w:t>万元，主要用于工资福利支出2412.65万元；商品和服务支出16.92万元；对个人和家庭补助2.88万元；项目支出0万元。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2080502事业单位离退休0.24万元，其中：商品和服务支出13.08万元；对个人和家庭补助26万元；项目支出0万元。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2080505机关事业单位基本养老保险缴费支出462.44万元，其中:工资福利支出462.44万元;项目支出0万元。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2080506机关事业单位职业年金缴费支出1.95万元，其中:工资福利支出1.95万元;项目支出0万元。</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2210201住房公积金309.56万元，其中：工资福利支309.56万元;项目支出0万元。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kern w:val="0"/>
          <w:sz w:val="30"/>
          <w:szCs w:val="30"/>
        </w:rPr>
      </w:pPr>
      <w:r>
        <w:rPr>
          <w:rFonts w:hint="eastAsia" w:ascii="黑体" w:hAnsi="黑体" w:eastAsia="黑体"/>
          <w:kern w:val="0"/>
          <w:sz w:val="30"/>
          <w:szCs w:val="30"/>
        </w:rPr>
        <w:t xml:space="preserve">  </w:t>
      </w:r>
      <w:r>
        <w:rPr>
          <w:rFonts w:hint="eastAsia" w:ascii="仿宋_GB2312" w:hAnsi="仿宋_GB2312" w:eastAsia="仿宋_GB2312" w:cs="仿宋_GB2312"/>
          <w:kern w:val="0"/>
          <w:sz w:val="30"/>
          <w:szCs w:val="30"/>
        </w:rPr>
        <w:t xml:space="preserve"> 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对下专项土地改革在转移支付项目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eastAsia="zh-CN"/>
        </w:rPr>
        <w:t>本单位</w:t>
      </w:r>
      <w:r>
        <w:rPr>
          <w:rFonts w:hint="eastAsia" w:eastAsia="仿宋_GB2312"/>
          <w:kern w:val="0"/>
          <w:sz w:val="30"/>
          <w:szCs w:val="30"/>
          <w:lang w:val="en-US" w:eastAsia="zh-CN"/>
        </w:rPr>
        <w:t>2019年无政府采购预算</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平原镇中心学校</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9.65</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3.85</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5.80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5.80</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9.65</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3.85</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3.85</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5.80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2019年部门预算收入3245.48</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2991.57万元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253.91万元，增8.49 %增加原因：调增人员工资。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5"/>
        <w:keepNext w:val="0"/>
        <w:keepLines w:val="0"/>
        <w:pageBreakBefore w:val="0"/>
        <w:kinsoku/>
        <w:wordWrap/>
        <w:overflowPunct/>
        <w:topLinePunct w:val="0"/>
        <w:autoSpaceDE/>
        <w:autoSpaceDN/>
        <w:bidi w:val="0"/>
        <w:adjustRightInd/>
        <w:snapToGrid/>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平原镇中心学校无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eastAsia="仿宋_GB2312"/>
          <w:kern w:val="0"/>
          <w:sz w:val="30"/>
          <w:szCs w:val="30"/>
        </w:rPr>
      </w:pPr>
      <w:r>
        <w:rPr>
          <w:rFonts w:hint="eastAsia" w:ascii="仿宋_GB2312" w:eastAsia="仿宋_GB2312"/>
          <w:kern w:val="0"/>
          <w:sz w:val="30"/>
          <w:szCs w:val="30"/>
        </w:rPr>
        <w:t>机关运行经费共安排</w:t>
      </w:r>
      <w:r>
        <w:rPr>
          <w:rFonts w:hint="eastAsia" w:ascii="仿宋_GB2312" w:eastAsia="仿宋_GB2312"/>
          <w:kern w:val="0"/>
          <w:sz w:val="30"/>
          <w:szCs w:val="30"/>
          <w:lang w:val="en-US" w:eastAsia="zh-CN"/>
        </w:rPr>
        <w:t>39.65</w:t>
      </w:r>
      <w:r>
        <w:rPr>
          <w:rFonts w:hint="eastAsia" w:ascii="仿宋_GB2312" w:eastAsia="仿宋_GB2312"/>
          <w:kern w:val="0"/>
          <w:sz w:val="30"/>
          <w:szCs w:val="30"/>
        </w:rPr>
        <w:t>万元，主要用于办公费</w:t>
      </w:r>
      <w:r>
        <w:rPr>
          <w:rFonts w:hint="eastAsia" w:ascii="仿宋_GB2312" w:eastAsia="仿宋_GB2312"/>
          <w:kern w:val="0"/>
          <w:sz w:val="30"/>
          <w:szCs w:val="30"/>
          <w:lang w:val="en-US" w:eastAsia="zh-CN"/>
        </w:rPr>
        <w:t>23.74</w:t>
      </w:r>
      <w:r>
        <w:rPr>
          <w:rFonts w:hint="eastAsia" w:ascii="仿宋_GB2312" w:eastAsia="仿宋_GB2312"/>
          <w:kern w:val="0"/>
          <w:sz w:val="30"/>
          <w:szCs w:val="30"/>
        </w:rPr>
        <w:t>万元、</w:t>
      </w:r>
      <w:r>
        <w:rPr>
          <w:rFonts w:hint="eastAsia" w:ascii="仿宋_GB2312" w:eastAsia="仿宋_GB2312"/>
          <w:kern w:val="0"/>
          <w:sz w:val="30"/>
          <w:szCs w:val="30"/>
          <w:lang w:eastAsia="zh-CN"/>
        </w:rPr>
        <w:t>差旅费</w:t>
      </w:r>
      <w:r>
        <w:rPr>
          <w:rFonts w:hint="eastAsia" w:ascii="仿宋_GB2312" w:eastAsia="仿宋_GB2312"/>
          <w:kern w:val="0"/>
          <w:sz w:val="30"/>
          <w:szCs w:val="30"/>
          <w:lang w:val="en-US" w:eastAsia="zh-CN"/>
        </w:rPr>
        <w:t>0.30万元、</w:t>
      </w:r>
      <w:r>
        <w:rPr>
          <w:rFonts w:hint="eastAsia" w:ascii="仿宋_GB2312" w:eastAsia="仿宋_GB2312"/>
          <w:kern w:val="0"/>
          <w:sz w:val="30"/>
          <w:szCs w:val="30"/>
          <w:lang w:eastAsia="zh-CN"/>
        </w:rPr>
        <w:t>会议费</w:t>
      </w:r>
      <w:r>
        <w:rPr>
          <w:rFonts w:hint="eastAsia" w:ascii="仿宋_GB2312" w:eastAsia="仿宋_GB2312"/>
          <w:kern w:val="0"/>
          <w:sz w:val="30"/>
          <w:szCs w:val="30"/>
          <w:lang w:val="en-US" w:eastAsia="zh-CN"/>
        </w:rPr>
        <w:t>5.96</w:t>
      </w:r>
      <w:r>
        <w:rPr>
          <w:rFonts w:hint="eastAsia" w:ascii="仿宋_GB2312" w:eastAsia="仿宋_GB2312"/>
          <w:kern w:val="0"/>
          <w:sz w:val="30"/>
          <w:szCs w:val="30"/>
        </w:rPr>
        <w:t>万元</w:t>
      </w:r>
      <w:r>
        <w:rPr>
          <w:rFonts w:hint="eastAsia" w:ascii="仿宋_GB2312" w:eastAsia="仿宋_GB2312"/>
          <w:kern w:val="0"/>
          <w:sz w:val="30"/>
          <w:szCs w:val="30"/>
          <w:lang w:eastAsia="zh-CN"/>
        </w:rPr>
        <w:t>、公务接待费</w:t>
      </w:r>
      <w:r>
        <w:rPr>
          <w:rFonts w:hint="eastAsia" w:ascii="仿宋_GB2312" w:eastAsia="仿宋_GB2312"/>
          <w:kern w:val="0"/>
          <w:sz w:val="30"/>
          <w:szCs w:val="30"/>
          <w:lang w:val="en-US" w:eastAsia="zh-CN"/>
        </w:rPr>
        <w:t>3.85万元、</w:t>
      </w:r>
      <w:r>
        <w:rPr>
          <w:rFonts w:hint="eastAsia" w:ascii="仿宋_GB2312" w:eastAsia="仿宋_GB2312"/>
          <w:kern w:val="0"/>
          <w:sz w:val="30"/>
          <w:szCs w:val="30"/>
        </w:rPr>
        <w:t>公务用车购置及运行费</w:t>
      </w:r>
      <w:r>
        <w:rPr>
          <w:rFonts w:hint="eastAsia" w:ascii="仿宋_GB2312" w:eastAsia="仿宋_GB2312"/>
          <w:kern w:val="0"/>
          <w:sz w:val="30"/>
          <w:szCs w:val="30"/>
          <w:lang w:val="en-US" w:eastAsia="zh-CN"/>
        </w:rPr>
        <w:t>5.80</w:t>
      </w:r>
      <w:r>
        <w:rPr>
          <w:rFonts w:hint="eastAsia" w:ascii="仿宋_GB2312" w:eastAsia="仿宋_GB2312"/>
          <w:kern w:val="0"/>
          <w:sz w:val="30"/>
          <w:szCs w:val="30"/>
        </w:rPr>
        <w:t>万元</w:t>
      </w:r>
      <w:r>
        <w:rPr>
          <w:rFonts w:hint="eastAsia" w:ascii="仿宋_GB2312" w:eastAsia="仿宋_GB2312"/>
          <w:kern w:val="0"/>
          <w:sz w:val="30"/>
          <w:szCs w:val="30"/>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3245.48</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3245.48</w:t>
      </w:r>
      <w:r>
        <w:rPr>
          <w:rFonts w:eastAsia="仿宋_GB2312"/>
          <w:kern w:val="0"/>
          <w:sz w:val="30"/>
          <w:szCs w:val="30"/>
        </w:rPr>
        <w:t>万元，其中，基本支出</w:t>
      </w:r>
      <w:r>
        <w:rPr>
          <w:rFonts w:hint="eastAsia" w:eastAsia="仿宋_GB2312"/>
          <w:kern w:val="0"/>
          <w:sz w:val="30"/>
          <w:szCs w:val="30"/>
          <w:lang w:val="en-US" w:eastAsia="zh-CN"/>
        </w:rPr>
        <w:t>3245.48</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54255"/>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065A"/>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C13DBB"/>
    <w:rsid w:val="02450888"/>
    <w:rsid w:val="025737A0"/>
    <w:rsid w:val="03CD50E7"/>
    <w:rsid w:val="03F0214E"/>
    <w:rsid w:val="04CF1775"/>
    <w:rsid w:val="05616F12"/>
    <w:rsid w:val="0616583C"/>
    <w:rsid w:val="061D49D6"/>
    <w:rsid w:val="06325B44"/>
    <w:rsid w:val="06E43398"/>
    <w:rsid w:val="0810293A"/>
    <w:rsid w:val="084A3CB5"/>
    <w:rsid w:val="08874FD5"/>
    <w:rsid w:val="0A794768"/>
    <w:rsid w:val="0A976B9D"/>
    <w:rsid w:val="0AB77A2F"/>
    <w:rsid w:val="0C0F753E"/>
    <w:rsid w:val="0C774D69"/>
    <w:rsid w:val="0F3335F5"/>
    <w:rsid w:val="105A3BDF"/>
    <w:rsid w:val="10A216FA"/>
    <w:rsid w:val="117809B5"/>
    <w:rsid w:val="13E820E1"/>
    <w:rsid w:val="13F52A67"/>
    <w:rsid w:val="141A27E9"/>
    <w:rsid w:val="14594CAF"/>
    <w:rsid w:val="15CF4088"/>
    <w:rsid w:val="16C85A74"/>
    <w:rsid w:val="18194B15"/>
    <w:rsid w:val="19314F59"/>
    <w:rsid w:val="1957779C"/>
    <w:rsid w:val="1A0B3DDD"/>
    <w:rsid w:val="1A685806"/>
    <w:rsid w:val="1C737DA9"/>
    <w:rsid w:val="206C0510"/>
    <w:rsid w:val="207165AF"/>
    <w:rsid w:val="20771576"/>
    <w:rsid w:val="20900CC0"/>
    <w:rsid w:val="21A54BF9"/>
    <w:rsid w:val="21B76D32"/>
    <w:rsid w:val="22003BF0"/>
    <w:rsid w:val="23293A4E"/>
    <w:rsid w:val="23C6578F"/>
    <w:rsid w:val="242E2599"/>
    <w:rsid w:val="24367EEC"/>
    <w:rsid w:val="24721F96"/>
    <w:rsid w:val="26BF2FF3"/>
    <w:rsid w:val="27122E78"/>
    <w:rsid w:val="27530549"/>
    <w:rsid w:val="27E3128E"/>
    <w:rsid w:val="2894273E"/>
    <w:rsid w:val="28D26D48"/>
    <w:rsid w:val="29171AE7"/>
    <w:rsid w:val="29F4749C"/>
    <w:rsid w:val="2B696D85"/>
    <w:rsid w:val="2D7B7E3A"/>
    <w:rsid w:val="2DA75286"/>
    <w:rsid w:val="2E105A63"/>
    <w:rsid w:val="2F6C08FA"/>
    <w:rsid w:val="2FD25EA1"/>
    <w:rsid w:val="2FFB49A6"/>
    <w:rsid w:val="30D85C38"/>
    <w:rsid w:val="31C6316B"/>
    <w:rsid w:val="31EE64E1"/>
    <w:rsid w:val="33E37726"/>
    <w:rsid w:val="369B6FF2"/>
    <w:rsid w:val="370F3DA1"/>
    <w:rsid w:val="39466C4F"/>
    <w:rsid w:val="39BF048F"/>
    <w:rsid w:val="3A8C77EA"/>
    <w:rsid w:val="3B3A0A32"/>
    <w:rsid w:val="3B9D1C90"/>
    <w:rsid w:val="3C817538"/>
    <w:rsid w:val="3CC32D4E"/>
    <w:rsid w:val="3D7C2415"/>
    <w:rsid w:val="3FA316F2"/>
    <w:rsid w:val="43131F13"/>
    <w:rsid w:val="43C35C3E"/>
    <w:rsid w:val="44A11F66"/>
    <w:rsid w:val="45166B3A"/>
    <w:rsid w:val="459E2C57"/>
    <w:rsid w:val="46D61E29"/>
    <w:rsid w:val="482F1149"/>
    <w:rsid w:val="48347F42"/>
    <w:rsid w:val="48BA0E0E"/>
    <w:rsid w:val="49434613"/>
    <w:rsid w:val="4A940EA9"/>
    <w:rsid w:val="4CF6134A"/>
    <w:rsid w:val="4DF0620F"/>
    <w:rsid w:val="4E1878C9"/>
    <w:rsid w:val="4E530B2F"/>
    <w:rsid w:val="4F462F65"/>
    <w:rsid w:val="4FC334A8"/>
    <w:rsid w:val="507B0850"/>
    <w:rsid w:val="50F26431"/>
    <w:rsid w:val="515A348C"/>
    <w:rsid w:val="51AA5659"/>
    <w:rsid w:val="51C268BE"/>
    <w:rsid w:val="524054E5"/>
    <w:rsid w:val="564C72BA"/>
    <w:rsid w:val="57AD6BAB"/>
    <w:rsid w:val="5825432A"/>
    <w:rsid w:val="58310B0B"/>
    <w:rsid w:val="59B6573A"/>
    <w:rsid w:val="5AB4032D"/>
    <w:rsid w:val="5AEC6057"/>
    <w:rsid w:val="5C075636"/>
    <w:rsid w:val="5CB75EB4"/>
    <w:rsid w:val="5CF27596"/>
    <w:rsid w:val="5D936EC0"/>
    <w:rsid w:val="5DDB63FE"/>
    <w:rsid w:val="5E3835FD"/>
    <w:rsid w:val="5E7D384C"/>
    <w:rsid w:val="5E81246A"/>
    <w:rsid w:val="5F887662"/>
    <w:rsid w:val="656D618F"/>
    <w:rsid w:val="65756AF5"/>
    <w:rsid w:val="65E20823"/>
    <w:rsid w:val="66447E71"/>
    <w:rsid w:val="67D95CA6"/>
    <w:rsid w:val="67DD5DBE"/>
    <w:rsid w:val="68083500"/>
    <w:rsid w:val="68C77134"/>
    <w:rsid w:val="68EE7CE3"/>
    <w:rsid w:val="69335F3B"/>
    <w:rsid w:val="69C506CD"/>
    <w:rsid w:val="69C53941"/>
    <w:rsid w:val="69E31B02"/>
    <w:rsid w:val="6A1C4EE8"/>
    <w:rsid w:val="6A8C3BB7"/>
    <w:rsid w:val="6AFA3B40"/>
    <w:rsid w:val="6AFE659A"/>
    <w:rsid w:val="6CAC668F"/>
    <w:rsid w:val="6DA47EEE"/>
    <w:rsid w:val="6E2C523E"/>
    <w:rsid w:val="6F09381C"/>
    <w:rsid w:val="6FCD3E36"/>
    <w:rsid w:val="724A4A01"/>
    <w:rsid w:val="72F37DB5"/>
    <w:rsid w:val="735E0F0B"/>
    <w:rsid w:val="73CB0FA6"/>
    <w:rsid w:val="75A33406"/>
    <w:rsid w:val="75F37398"/>
    <w:rsid w:val="761A3484"/>
    <w:rsid w:val="7632752A"/>
    <w:rsid w:val="76C22F3D"/>
    <w:rsid w:val="7779331C"/>
    <w:rsid w:val="77D46EE6"/>
    <w:rsid w:val="783D31F1"/>
    <w:rsid w:val="79910928"/>
    <w:rsid w:val="7A90144E"/>
    <w:rsid w:val="7ADC431D"/>
    <w:rsid w:val="7B1E5394"/>
    <w:rsid w:val="7BFF72BA"/>
    <w:rsid w:val="7CC5101A"/>
    <w:rsid w:val="7E39766E"/>
    <w:rsid w:val="7E9E748B"/>
    <w:rsid w:val="7F66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Strong"/>
    <w:qFormat/>
    <w:uiPriority w:val="0"/>
    <w:rPr>
      <w:b/>
      <w:bCs/>
    </w:rPr>
  </w:style>
  <w:style w:type="character" w:styleId="10">
    <w:name w:val="Hyperlink"/>
    <w:basedOn w:val="8"/>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3">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4">
    <w:name w:val="Normal (Web)"/>
    <w:basedOn w:val="1"/>
    <w:qFormat/>
    <w:uiPriority w:val="0"/>
    <w:pPr>
      <w:jc w:val="left"/>
    </w:pPr>
    <w:rPr>
      <w:kern w:val="0"/>
      <w:sz w:val="24"/>
    </w:rPr>
  </w:style>
  <w:style w:type="paragraph" w:customStyle="1" w:styleId="15">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3</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2019-04-29T09:45:14Z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